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94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440"/>
        <w:gridCol w:w="1500"/>
      </w:tblGrid>
      <w:tr>
        <w:tc>
          <w:tcPr>
            <w:tcW w:type="dxa" w:w="9440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15"/>
            </w:pPr>
            <w:r>
              <w:rPr>
                <w:rFonts w:ascii="IBM Plex Sans" w:cs="IBM Plex Sans" w:eastAsia="IBM Plex Sans" w:hAnsi="IBM Plex Sans"/>
                <w:b/>
                <w:bCs/>
                <w:color w:val="13233A"/>
                <w:spacing w:val="10"/>
                <w:sz w:val="40"/>
                <w:szCs w:val="40"/>
              </w:rPr>
              <w:t xml:space="preserve">ETHAN HASKELL</w:t>
            </w:r>
          </w:p>
          <w:p>
            <w:pPr>
              <w:spacing w:after="0"/>
            </w:pPr>
            <w:r>
              <w:rPr>
                <w:rFonts w:ascii="IBM Plex Sans" w:cs="IBM Plex Sans" w:eastAsia="IBM Plex Sans" w:hAnsi="IBM Plex Sans"/>
                <w:color w:val="000000"/>
                <w:sz w:val="21"/>
                <w:szCs w:val="21"/>
              </w:rPr>
              <w:t xml:space="preserve">Cybersecurity &amp; Network Systems</w:t>
            </w:r>
          </w:p>
        </w:tc>
        <w:tc>
          <w:tcPr>
            <w:tcW w:type="dxa" w:w="1500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jc w:val="right"/>
            </w:pPr>
            <w:r>
              <w:drawing>
                <wp:inline distT="0" distB="0" distL="0" distR="0">
                  <wp:extent cx="590550" cy="5905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20"/>
              <w:jc w:val="right"/>
            </w:pPr>
            <w:r>
              <w:rPr>
                <w:rFonts w:ascii="IBM Plex Sans" w:cs="IBM Plex Sans" w:eastAsia="IBM Plex Sans" w:hAnsi="IBM Plex Sans"/>
                <w:i/>
                <w:iCs/>
                <w:color w:val="6B7686"/>
                <w:sz w:val="13"/>
                <w:szCs w:val="13"/>
              </w:rPr>
              <w:t xml:space="preserve">scan for portfolio</w:t>
            </w:r>
          </w:p>
        </w:tc>
      </w:tr>
    </w:tbl>
    <w:p>
      <w:pPr>
        <w:spacing w:after="5" w:before="65"/>
      </w:pPr>
      <w:r>
        <w:rPr>
          <w:rFonts w:ascii="IBM Plex Sans" w:cs="IBM Plex Sans" w:eastAsia="IBM Plex Sans" w:hAnsi="IBM Plex Sans"/>
          <w:color w:val="3D4C61"/>
          <w:sz w:val="18"/>
          <w:szCs w:val="18"/>
        </w:rPr>
        <w:t xml:space="preserve">Ellicott City, Maryland  |  410-940-7116  |  ehas2026@gmail.com</w:t>
      </w:r>
    </w:p>
    <w:p>
      <w:pPr>
        <w:pBdr>
          <w:bottom w:val="single" w:color="D8DCE2" w:sz="4"/>
        </w:pBdr>
        <w:spacing w:after="28"/>
      </w:pPr>
      <w:r>
        <w:rPr>
          <w:rFonts w:ascii="IBM Plex Sans" w:cs="IBM Plex Sans" w:eastAsia="IBM Plex Sans" w:hAnsi="IBM Plex Sans"/>
          <w:color w:val="3D4C61"/>
          <w:sz w:val="18"/>
          <w:szCs w:val="18"/>
        </w:rPr>
        <w:t xml:space="preserve">linkedin.com/in/ethan-h-2745282a6  |  github.com/cyberskell  |  cyberskell.com</w:t>
      </w:r>
    </w:p>
    <w:p>
      <w:pPr>
        <w:pBdr>
          <w:bottom w:val="single" w:color="13233A" w:sz="8"/>
        </w:pBdr>
        <w:spacing w:after="22" w:before="38"/>
      </w:pPr>
      <w:r>
        <w:rPr>
          <w:rFonts w:ascii="IBM Plex Sans" w:cs="IBM Plex Sans" w:eastAsia="IBM Plex Sans" w:hAnsi="IBM Plex Sans"/>
          <w:b/>
          <w:bCs/>
          <w:color w:val="13233A"/>
          <w:spacing w:val="20"/>
          <w:sz w:val="20"/>
          <w:szCs w:val="20"/>
        </w:rPr>
        <w:t xml:space="preserve">SUMMARY</w:t>
      </w:r>
    </w:p>
    <w:p>
      <w:pPr>
        <w:spacing w:after="40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Networking infrastructure student with a focus in cybersecurity at Bowie State University, with hands-on experience in enterprise network administration, workstation support, and self-hosted servers; pursuing the Cisco CCNA (target Jan. 2027) and CompTIA Network+ and Security+. Experienced resolving issues for non-technical staff and end users through IT internships with the Supreme Court of the United States and the City of Baltimore. Eagle Scout known for reliability, professionalism, and clear communication.</w:t>
      </w:r>
    </w:p>
    <w:p>
      <w:pPr>
        <w:pBdr>
          <w:bottom w:val="single" w:color="13233A" w:sz="8"/>
        </w:pBdr>
        <w:spacing w:after="22" w:before="38"/>
      </w:pPr>
      <w:r>
        <w:rPr>
          <w:rFonts w:ascii="IBM Plex Sans" w:cs="IBM Plex Sans" w:eastAsia="IBM Plex Sans" w:hAnsi="IBM Plex Sans"/>
          <w:b/>
          <w:bCs/>
          <w:color w:val="13233A"/>
          <w:spacing w:val="20"/>
          <w:sz w:val="20"/>
          <w:szCs w:val="20"/>
        </w:rPr>
        <w:t xml:space="preserve">EDUCATION</w:t>
      </w:r>
    </w:p>
    <w:tbl>
      <w:tblPr>
        <w:tblW w:type="dxa" w:w="1094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8200"/>
        <w:gridCol w:w="2740"/>
      </w:tblGrid>
      <w:tr>
        <w:tc>
          <w:tcPr>
            <w:tcW w:type="dxa" w:w="8200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5" w:before="38"/>
            </w:pPr>
            <w:r>
              <w:rPr>
                <w:rFonts w:ascii="IBM Plex Sans" w:cs="IBM Plex Sans" w:eastAsia="IBM Plex Sans" w:hAnsi="IBM Plex Sans"/>
                <w:b/>
                <w:bCs/>
                <w:color w:val="1A1D21"/>
                <w:sz w:val="19"/>
                <w:szCs w:val="19"/>
              </w:rPr>
              <w:t xml:space="preserve">B.S. Networking Infrastructure, Focus in Cybersecurity — Bowie State University</w:t>
            </w:r>
          </w:p>
        </w:tc>
        <w:tc>
          <w:tcPr>
            <w:tcW w:type="dxa" w:w="2740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spacing w:after="5" w:before="38"/>
              <w:jc w:val="right"/>
            </w:pPr>
            <w:r>
              <w:rPr>
                <w:rFonts w:ascii="IBM Plex Sans" w:cs="IBM Plex Sans" w:eastAsia="IBM Plex Sans" w:hAnsi="IBM Plex Sans"/>
                <w:color w:val="6B7686"/>
                <w:sz w:val="17"/>
                <w:szCs w:val="17"/>
              </w:rPr>
              <w:t xml:space="preserve">Expected Dec. 2026</w:t>
            </w:r>
          </w:p>
        </w:tc>
      </w:tr>
    </w:tbl>
    <w:p>
      <w:pPr>
        <w:spacing w:after="24"/>
      </w:pPr>
      <w:r>
        <w:rPr>
          <w:rFonts w:ascii="IBM Plex Sans" w:cs="IBM Plex Sans" w:eastAsia="IBM Plex Sans" w:hAnsi="IBM Plex Sans"/>
          <w:i/>
          <w:iCs/>
          <w:color w:val="3D4C61"/>
          <w:sz w:val="17"/>
          <w:szCs w:val="17"/>
        </w:rPr>
        <w:t xml:space="preserve">GPA: 3.2 / 4.0</w:t>
      </w:r>
    </w:p>
    <w:p>
      <w:pPr>
        <w:spacing w:after="19"/>
      </w:pPr>
      <w:r>
        <w:rPr>
          <w:rFonts w:ascii="IBM Plex Sans" w:cs="IBM Plex Sans" w:eastAsia="IBM Plex Sans" w:hAnsi="IBM Plex Sans"/>
          <w:b/>
          <w:bCs/>
          <w:color w:val="13233A"/>
          <w:sz w:val="18"/>
          <w:szCs w:val="18"/>
        </w:rPr>
        <w:t xml:space="preserve">Relevant Coursework:  </w:t>
      </w:r>
      <w:r>
        <w:rPr>
          <w:rFonts w:ascii="IBM Plex Sans" w:cs="IBM Plex Sans" w:eastAsia="IBM Plex Sans" w:hAnsi="IBM Plex Sans"/>
          <w:color w:val="23262B"/>
          <w:sz w:val="18"/>
          <w:szCs w:val="18"/>
        </w:rPr>
        <w:t xml:space="preserve">Client Operating Systems, Windows Server Administration, PC Architecture, Computer Networking, Foundations of Computer and Network Security, Internet Technology, Database Development</w:t>
      </w:r>
    </w:p>
    <w:p>
      <w:pPr>
        <w:spacing w:after="19"/>
      </w:pPr>
      <w:r>
        <w:rPr>
          <w:rFonts w:ascii="IBM Plex Sans" w:cs="IBM Plex Sans" w:eastAsia="IBM Plex Sans" w:hAnsi="IBM Plex Sans"/>
          <w:b/>
          <w:bCs/>
          <w:color w:val="13233A"/>
          <w:sz w:val="18"/>
          <w:szCs w:val="18"/>
        </w:rPr>
        <w:t xml:space="preserve">Certifications:  </w:t>
      </w:r>
      <w:r>
        <w:rPr>
          <w:rFonts w:ascii="IBM Plex Sans" w:cs="IBM Plex Sans" w:eastAsia="IBM Plex Sans" w:hAnsi="IBM Plex Sans"/>
          <w:color w:val="23262B"/>
          <w:sz w:val="18"/>
          <w:szCs w:val="18"/>
        </w:rPr>
        <w:t xml:space="preserve">Cisco Certified Network Associate (CCNA) — target Jan. 2027  |  CompTIA Network+ and Security+ — in progress</w:t>
      </w:r>
    </w:p>
    <w:p>
      <w:pPr>
        <w:pBdr>
          <w:bottom w:val="single" w:color="13233A" w:sz="8"/>
        </w:pBdr>
        <w:spacing w:after="22" w:before="38"/>
      </w:pPr>
      <w:r>
        <w:rPr>
          <w:rFonts w:ascii="IBM Plex Sans" w:cs="IBM Plex Sans" w:eastAsia="IBM Plex Sans" w:hAnsi="IBM Plex Sans"/>
          <w:b/>
          <w:bCs/>
          <w:color w:val="13233A"/>
          <w:spacing w:val="20"/>
          <w:sz w:val="20"/>
          <w:szCs w:val="20"/>
        </w:rPr>
        <w:t xml:space="preserve">SKILLS</w:t>
      </w:r>
    </w:p>
    <w:p>
      <w:pPr>
        <w:spacing w:after="19"/>
      </w:pPr>
      <w:r>
        <w:rPr>
          <w:rFonts w:ascii="IBM Plex Sans" w:cs="IBM Plex Sans" w:eastAsia="IBM Plex Sans" w:hAnsi="IBM Plex Sans"/>
          <w:b/>
          <w:bCs/>
          <w:color w:val="13233A"/>
          <w:sz w:val="18"/>
          <w:szCs w:val="18"/>
        </w:rPr>
        <w:t xml:space="preserve">Systems &amp; Support:  </w:t>
      </w:r>
      <w:r>
        <w:rPr>
          <w:rFonts w:ascii="IBM Plex Sans" w:cs="IBM Plex Sans" w:eastAsia="IBM Plex Sans" w:hAnsi="IBM Plex Sans"/>
          <w:color w:val="23262B"/>
          <w:sz w:val="18"/>
          <w:szCs w:val="18"/>
        </w:rPr>
        <w:t xml:space="preserve">Windows, Windows Server, Linux (Ubuntu), Active Directory administration, account and access management, hardware/software troubleshooting, PC architecture, system maintenance and updates</w:t>
      </w:r>
    </w:p>
    <w:p>
      <w:pPr>
        <w:spacing w:after="19"/>
      </w:pPr>
      <w:r>
        <w:rPr>
          <w:rFonts w:ascii="IBM Plex Sans" w:cs="IBM Plex Sans" w:eastAsia="IBM Plex Sans" w:hAnsi="IBM Plex Sans"/>
          <w:b/>
          <w:bCs/>
          <w:color w:val="13233A"/>
          <w:sz w:val="18"/>
          <w:szCs w:val="18"/>
        </w:rPr>
        <w:t xml:space="preserve">Virtualization &amp; Cloud:  </w:t>
      </w:r>
      <w:r>
        <w:rPr>
          <w:rFonts w:ascii="IBM Plex Sans" w:cs="IBM Plex Sans" w:eastAsia="IBM Plex Sans" w:hAnsi="IBM Plex Sans"/>
          <w:color w:val="23262B"/>
          <w:sz w:val="18"/>
          <w:szCs w:val="18"/>
        </w:rPr>
        <w:t xml:space="preserve">Proxmox, Docker, VMware, VirtualBox, Azure</w:t>
      </w:r>
    </w:p>
    <w:p>
      <w:pPr>
        <w:spacing w:after="19"/>
      </w:pPr>
      <w:r>
        <w:rPr>
          <w:rFonts w:ascii="IBM Plex Sans" w:cs="IBM Plex Sans" w:eastAsia="IBM Plex Sans" w:hAnsi="IBM Plex Sans"/>
          <w:b/>
          <w:bCs/>
          <w:color w:val="13233A"/>
          <w:sz w:val="18"/>
          <w:szCs w:val="18"/>
        </w:rPr>
        <w:t xml:space="preserve">Networking:  </w:t>
      </w:r>
      <w:r>
        <w:rPr>
          <w:rFonts w:ascii="IBM Plex Sans" w:cs="IBM Plex Sans" w:eastAsia="IBM Plex Sans" w:hAnsi="IBM Plex Sans"/>
          <w:color w:val="23262B"/>
          <w:sz w:val="18"/>
          <w:szCs w:val="18"/>
        </w:rPr>
        <w:t xml:space="preserve">TCP/IP, DNS, DHCP, VPN (WireGuard), switch and router configuration, firewall configuration, network monitoring (SolarWinds), wireless networking, connectivity troubleshooting</w:t>
      </w:r>
    </w:p>
    <w:p>
      <w:pPr>
        <w:spacing w:after="19"/>
      </w:pPr>
      <w:r>
        <w:rPr>
          <w:rFonts w:ascii="IBM Plex Sans" w:cs="IBM Plex Sans" w:eastAsia="IBM Plex Sans" w:hAnsi="IBM Plex Sans"/>
          <w:b/>
          <w:bCs/>
          <w:color w:val="13233A"/>
          <w:sz w:val="18"/>
          <w:szCs w:val="18"/>
        </w:rPr>
        <w:t xml:space="preserve">Tools &amp; Productivity:  </w:t>
      </w:r>
      <w:r>
        <w:rPr>
          <w:rFonts w:ascii="IBM Plex Sans" w:cs="IBM Plex Sans" w:eastAsia="IBM Plex Sans" w:hAnsi="IBM Plex Sans"/>
          <w:color w:val="23262B"/>
          <w:sz w:val="18"/>
          <w:szCs w:val="18"/>
        </w:rPr>
        <w:t xml:space="preserve">Microsoft Excel, Power BI, Git, command-line utilities, Python, SQL, Java, IT ticketing/helpdesk systems, Cisco Jabber, Webex</w:t>
      </w:r>
    </w:p>
    <w:p>
      <w:pPr>
        <w:spacing w:after="19"/>
      </w:pPr>
      <w:r>
        <w:rPr>
          <w:rFonts w:ascii="IBM Plex Sans" w:cs="IBM Plex Sans" w:eastAsia="IBM Plex Sans" w:hAnsi="IBM Plex Sans"/>
          <w:b/>
          <w:bCs/>
          <w:color w:val="13233A"/>
          <w:sz w:val="18"/>
          <w:szCs w:val="18"/>
        </w:rPr>
        <w:t xml:space="preserve">Professional:  </w:t>
      </w:r>
      <w:r>
        <w:rPr>
          <w:rFonts w:ascii="IBM Plex Sans" w:cs="IBM Plex Sans" w:eastAsia="IBM Plex Sans" w:hAnsi="IBM Plex Sans"/>
          <w:color w:val="23262B"/>
          <w:sz w:val="18"/>
          <w:szCs w:val="18"/>
        </w:rPr>
        <w:t xml:space="preserve">Customer support &amp; service-desk best practices, technical documentation, cross-team collaboration, issue escalation and follow-through</w:t>
      </w:r>
    </w:p>
    <w:p>
      <w:pPr>
        <w:pBdr>
          <w:bottom w:val="single" w:color="13233A" w:sz="8"/>
        </w:pBdr>
        <w:spacing w:after="22" w:before="38"/>
      </w:pPr>
      <w:r>
        <w:rPr>
          <w:rFonts w:ascii="IBM Plex Sans" w:cs="IBM Plex Sans" w:eastAsia="IBM Plex Sans" w:hAnsi="IBM Plex Sans"/>
          <w:b/>
          <w:bCs/>
          <w:color w:val="13233A"/>
          <w:spacing w:val="20"/>
          <w:sz w:val="20"/>
          <w:szCs w:val="20"/>
        </w:rPr>
        <w:t xml:space="preserve">TECHNICAL PROJECTS</w:t>
      </w:r>
    </w:p>
    <w:p>
      <w:pPr>
        <w:spacing w:after="5" w:before="38"/>
      </w:pPr>
      <w:r>
        <w:rPr>
          <w:rFonts w:ascii="IBM Plex Sans" w:cs="IBM Plex Sans" w:eastAsia="IBM Plex Sans" w:hAnsi="IBM Plex Sans"/>
          <w:b/>
          <w:bCs/>
          <w:color w:val="1A1D21"/>
          <w:sz w:val="19"/>
          <w:szCs w:val="19"/>
        </w:rPr>
        <w:t xml:space="preserve">Personal Home Lab — System Administration &amp; Troubleshooting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Built and maintain a multi-service server environment on Proxmox, deploying and supporting Docker-containerized applications (media server, game server) — including installs, updates, backups, and diagnosing service outages.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Run a personal DNS server to monitor incoming network traffic and block unwanted applications at the network level, backed by custom firewall rules.</w:t>
      </w:r>
    </w:p>
    <w:p>
      <w:pPr>
        <w:spacing w:after="5" w:before="38"/>
      </w:pPr>
      <w:r>
        <w:rPr>
          <w:rFonts w:ascii="IBM Plex Sans" w:cs="IBM Plex Sans" w:eastAsia="IBM Plex Sans" w:hAnsi="IBM Plex Sans"/>
          <w:b/>
          <w:bCs/>
          <w:color w:val="1A1D21"/>
          <w:sz w:val="19"/>
          <w:szCs w:val="19"/>
        </w:rPr>
        <w:t xml:space="preserve">Self-Hosted Web Server (github.com/cyberskell/cyberskell-web-dns-server)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Deployed an Ubuntu Server running the Apache HTTP Server, configured with a custom domain and IP-based access control to restrict incoming connections.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Set up Apache virtual hosts and DNS routing, then hardened the server against unauthorized access with firewall rules on top of Apache's own access controls; perform ongoing maintenance and patching.</w:t>
      </w:r>
    </w:p>
    <w:p>
      <w:pPr>
        <w:spacing w:after="5" w:before="38"/>
      </w:pPr>
      <w:r>
        <w:rPr>
          <w:rFonts w:ascii="IBM Plex Sans" w:cs="IBM Plex Sans" w:eastAsia="IBM Plex Sans" w:hAnsi="IBM Plex Sans"/>
          <w:b/>
          <w:bCs/>
          <w:color w:val="1A1D21"/>
          <w:sz w:val="19"/>
          <w:szCs w:val="19"/>
        </w:rPr>
        <w:t xml:space="preserve">Hybrid Identity, Cloud Infrastructure &amp; Disaster Recovery Lab | Azure, Windows Server 2022, AD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Designed a segmented Azure network with an IP-restricted jumpbox, private domain controller, and NAT Gateway; built an AD forest, joined VMs to the domain, and synced users to Microsoft Entra ID with Entra Connect.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Built an AD CS Enterprise Root CA with Group Policy auto-enrollment and NPS/RADIUS with EAP-TLS, verified end to end in NPS audit logs; configured Azure File Sync with cloud tiering.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Implemented Azure Backup and Azure Site Recovery with a cross-region test failover; resolved Azure Policy, SKU, and quota blockers with Azure CLI.</w:t>
      </w:r>
    </w:p>
    <w:p>
      <w:pPr>
        <w:pBdr>
          <w:bottom w:val="single" w:color="13233A" w:sz="8"/>
        </w:pBdr>
        <w:spacing w:after="22" w:before="38"/>
      </w:pPr>
      <w:r>
        <w:rPr>
          <w:rFonts w:ascii="IBM Plex Sans" w:cs="IBM Plex Sans" w:eastAsia="IBM Plex Sans" w:hAnsi="IBM Plex Sans"/>
          <w:b/>
          <w:bCs/>
          <w:color w:val="13233A"/>
          <w:spacing w:val="20"/>
          <w:sz w:val="20"/>
          <w:szCs w:val="20"/>
        </w:rPr>
        <w:t xml:space="preserve">WORK EXPERIENCE</w:t>
      </w:r>
    </w:p>
    <w:tbl>
      <w:tblPr>
        <w:tblW w:type="dxa" w:w="1094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8200"/>
        <w:gridCol w:w="2740"/>
      </w:tblGrid>
      <w:tr>
        <w:tc>
          <w:tcPr>
            <w:tcW w:type="dxa" w:w="8200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5" w:before="38"/>
            </w:pPr>
            <w:r>
              <w:rPr>
                <w:rFonts w:ascii="IBM Plex Sans" w:cs="IBM Plex Sans" w:eastAsia="IBM Plex Sans" w:hAnsi="IBM Plex Sans"/>
                <w:b/>
                <w:bCs/>
                <w:color w:val="1A1D21"/>
                <w:sz w:val="19"/>
                <w:szCs w:val="19"/>
              </w:rPr>
              <w:t xml:space="preserve">IT Operations Intern — Network Administration &amp; Workstation Administration Groups</w:t>
            </w:r>
          </w:p>
        </w:tc>
        <w:tc>
          <w:tcPr>
            <w:tcW w:type="dxa" w:w="2740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spacing w:after="5" w:before="38"/>
              <w:jc w:val="right"/>
            </w:pPr>
            <w:r>
              <w:rPr>
                <w:rFonts w:ascii="IBM Plex Sans" w:cs="IBM Plex Sans" w:eastAsia="IBM Plex Sans" w:hAnsi="IBM Plex Sans"/>
                <w:color w:val="6B7686"/>
                <w:sz w:val="17"/>
                <w:szCs w:val="17"/>
              </w:rPr>
              <w:t xml:space="preserve">Sept. 2026 – Jan. 2027</w:t>
            </w:r>
          </w:p>
        </w:tc>
      </w:tr>
    </w:tbl>
    <w:p>
      <w:pPr>
        <w:spacing w:after="24"/>
      </w:pPr>
      <w:r>
        <w:rPr>
          <w:rFonts w:ascii="IBM Plex Sans" w:cs="IBM Plex Sans" w:eastAsia="IBM Plex Sans" w:hAnsi="IBM Plex Sans"/>
          <w:i/>
          <w:iCs/>
          <w:color w:val="3D4C61"/>
          <w:sz w:val="17"/>
          <w:szCs w:val="17"/>
        </w:rPr>
        <w:t xml:space="preserve">Supreme Court of the United States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Supported both the Network Administration Group (NAG) and Workstation Administration Group (WAG), gaining hands-on exposure to enterprise networking environments, system monitoring, hardware deployments, and end-user technical support.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Split time between proactive network monitoring and operational tasks within NAG — including switch and router configuration and troubleshooting using network monitoring tools — and direct, user-facing technical support within WAG.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Tracked and resolved issues through IT ticketing systems, applying customer service best practices and following documentation standards for hardware deployments and support requests.</w:t>
      </w:r>
    </w:p>
    <w:tbl>
      <w:tblPr>
        <w:tblW w:type="dxa" w:w="1094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8200"/>
        <w:gridCol w:w="2740"/>
      </w:tblGrid>
      <w:tr>
        <w:tc>
          <w:tcPr>
            <w:tcW w:type="dxa" w:w="8200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5" w:before="38"/>
            </w:pPr>
            <w:r>
              <w:rPr>
                <w:rFonts w:ascii="IBM Plex Sans" w:cs="IBM Plex Sans" w:eastAsia="IBM Plex Sans" w:hAnsi="IBM Plex Sans"/>
                <w:b/>
                <w:bCs/>
                <w:color w:val="1A1D21"/>
                <w:sz w:val="19"/>
                <w:szCs w:val="19"/>
              </w:rPr>
              <w:t xml:space="preserve">Full-Stack Database &amp; Software Development Intern</w:t>
            </w:r>
          </w:p>
        </w:tc>
        <w:tc>
          <w:tcPr>
            <w:tcW w:type="dxa" w:w="2740"/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>
            <w:pPr>
              <w:spacing w:after="5" w:before="38"/>
              <w:jc w:val="right"/>
            </w:pPr>
            <w:r>
              <w:rPr>
                <w:rFonts w:ascii="IBM Plex Sans" w:cs="IBM Plex Sans" w:eastAsia="IBM Plex Sans" w:hAnsi="IBM Plex Sans"/>
                <w:color w:val="6B7686"/>
                <w:sz w:val="17"/>
                <w:szCs w:val="17"/>
              </w:rPr>
              <w:t xml:space="preserve">May 2025 – Aug. 2025</w:t>
            </w:r>
          </w:p>
        </w:tc>
      </w:tr>
    </w:tbl>
    <w:p>
      <w:pPr>
        <w:spacing w:after="24"/>
      </w:pPr>
      <w:r>
        <w:rPr>
          <w:rFonts w:ascii="IBM Plex Sans" w:cs="IBM Plex Sans" w:eastAsia="IBM Plex Sans" w:hAnsi="IBM Plex Sans"/>
          <w:i/>
          <w:iCs/>
          <w:color w:val="3D4C61"/>
          <w:sz w:val="17"/>
          <w:szCs w:val="17"/>
        </w:rPr>
        <w:t xml:space="preserve">Baltimore City Fellows Internship — City of Baltimore, Office of the Comptroller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Worked directly with non-technical staff across IT and operations teams to translate their needs into technical requirements and deliver a dashboard that departments used daily.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Led full-stack development of an interactive dashboard that automated previously manual daily data updates, reducing repetitive reporting work and improving data quality across departmental records; documented the build for staff handoff and training.</w:t>
      </w:r>
    </w:p>
    <w:p>
      <w:pPr>
        <w:pBdr>
          <w:bottom w:val="single" w:color="13233A" w:sz="8"/>
        </w:pBdr>
        <w:spacing w:after="22" w:before="38"/>
      </w:pPr>
      <w:r>
        <w:rPr>
          <w:rFonts w:ascii="IBM Plex Sans" w:cs="IBM Plex Sans" w:eastAsia="IBM Plex Sans" w:hAnsi="IBM Plex Sans"/>
          <w:b/>
          <w:bCs/>
          <w:color w:val="13233A"/>
          <w:spacing w:val="20"/>
          <w:sz w:val="20"/>
          <w:szCs w:val="20"/>
        </w:rPr>
        <w:t xml:space="preserve">LEADERSHIP &amp; VOLUNTEER EXPERIENCE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Eagle Scout — Boy Scouts of America: led and documented a multi-volunteer service project from planning through completion.</w:t>
      </w:r>
    </w:p>
    <w:p>
      <w:pPr>
        <w:pStyle w:val="ListParagraph"/>
        <w:numPr>
          <w:ilvl w:val="0"/>
          <w:numId w:val="1"/>
        </w:numPr>
        <w:spacing w:after="11"/>
      </w:pPr>
      <w:r>
        <w:rPr>
          <w:rFonts w:ascii="IBM Plex Sans" w:cs="IBM Plex Sans" w:eastAsia="IBM Plex Sans" w:hAnsi="IBM Plex Sans"/>
          <w:color w:val="23262B"/>
          <w:sz w:val="17"/>
          <w:szCs w:val="17"/>
        </w:rPr>
        <w:t xml:space="preserve">BDPA Baltimore Metro, Charter Member (2023–Present)  |  BSU Collegiate Chapter, Project Coordinator (2025)  |  HSCC, Election Chair (2025) &amp; Student Volunteer (2023–Present)</w:t>
      </w:r>
    </w:p>
    <w:sectPr>
      <w:pgSz w:w="12240" w:h="15840" w:orient="portrait"/>
      <w:pgMar w:top="150" w:right="560" w:bottom="150" w:left="56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2c2dc5028aec758df5e28b1fdcc2ad4fa79eed61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Haskell — Resume</dc:title>
  <dc:creator>Ethan Haskell</dc:creator>
  <cp:lastModifiedBy>Ethan Haskell</cp:lastModifiedBy>
  <cp:revision>1</cp:revision>
  <dcterms:created xsi:type="dcterms:W3CDTF">2026-11-01T18:52:20.226Z</dcterms:created>
  <dcterms:modified xsi:type="dcterms:W3CDTF">2026-11-01T18:52:20.233Z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